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QUY CHẾ</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TRƯỜNG TRUNG HỌC PHỔ THÔNG CHUYÊN</w:t>
      </w:r>
    </w:p>
    <w:p w:rsidR="0082471F" w:rsidRPr="00D50126" w:rsidRDefault="0082471F" w:rsidP="0082471F">
      <w:pPr>
        <w:spacing w:before="100" w:beforeAutospacing="1" w:after="100" w:afterAutospacing="1"/>
        <w:jc w:val="center"/>
        <w:rPr>
          <w:sz w:val="24"/>
          <w:szCs w:val="24"/>
        </w:rPr>
      </w:pPr>
      <w:r w:rsidRPr="00D50126">
        <w:rPr>
          <w:b/>
          <w:bCs/>
          <w:i/>
          <w:iCs/>
          <w:sz w:val="24"/>
          <w:szCs w:val="24"/>
          <w:lang w:val="en-GB"/>
        </w:rPr>
        <w:t>(Ban hành kèm theo Quyết định số: 05/2002/QĐ-BGD&amp;ĐT,</w:t>
      </w:r>
    </w:p>
    <w:p w:rsidR="0082471F" w:rsidRPr="00D50126" w:rsidRDefault="0082471F" w:rsidP="0082471F">
      <w:pPr>
        <w:spacing w:before="100" w:beforeAutospacing="1" w:after="100" w:afterAutospacing="1"/>
        <w:jc w:val="center"/>
        <w:rPr>
          <w:sz w:val="24"/>
          <w:szCs w:val="24"/>
        </w:rPr>
      </w:pPr>
      <w:r w:rsidRPr="00D50126">
        <w:rPr>
          <w:b/>
          <w:bCs/>
          <w:i/>
          <w:iCs/>
          <w:sz w:val="24"/>
          <w:szCs w:val="24"/>
          <w:lang w:val="en-GB"/>
        </w:rPr>
        <w:t>ngày 11/03/2002 của Bộ trưởng Bộ Giáo dục và đào tạo)</w:t>
      </w:r>
    </w:p>
    <w:p w:rsidR="0082471F" w:rsidRPr="00D50126" w:rsidRDefault="0082471F" w:rsidP="0082471F">
      <w:pPr>
        <w:spacing w:before="100" w:beforeAutospacing="1" w:after="100" w:afterAutospacing="1"/>
        <w:ind w:left="1440"/>
        <w:jc w:val="both"/>
        <w:rPr>
          <w:sz w:val="24"/>
          <w:szCs w:val="24"/>
        </w:rPr>
      </w:pPr>
      <w:r w:rsidRPr="00D50126">
        <w:rPr>
          <w:sz w:val="24"/>
          <w:szCs w:val="24"/>
          <w:lang w:val="en-GB"/>
        </w:rPr>
        <w:t> </w:t>
      </w:r>
    </w:p>
    <w:p w:rsidR="0082471F" w:rsidRPr="00D50126" w:rsidRDefault="0082471F" w:rsidP="0082471F">
      <w:pPr>
        <w:spacing w:before="100" w:beforeAutospacing="1" w:after="100" w:afterAutospacing="1"/>
        <w:jc w:val="center"/>
        <w:rPr>
          <w:sz w:val="24"/>
          <w:szCs w:val="24"/>
        </w:rPr>
      </w:pPr>
      <w:bookmarkStart w:id="0" w:name="3"/>
      <w:bookmarkEnd w:id="0"/>
      <w:r w:rsidRPr="00D50126">
        <w:rPr>
          <w:b/>
          <w:bCs/>
          <w:sz w:val="24"/>
          <w:szCs w:val="24"/>
          <w:lang w:val="en-GB"/>
        </w:rPr>
        <w:t>Chương I</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NHỮNG QUY ĐỊNH CHUNG</w:t>
      </w:r>
    </w:p>
    <w:p w:rsidR="0082471F" w:rsidRPr="00D50126" w:rsidRDefault="0082471F" w:rsidP="0082471F">
      <w:pPr>
        <w:spacing w:before="100" w:beforeAutospacing="1" w:after="100" w:afterAutospacing="1"/>
        <w:jc w:val="both"/>
        <w:rPr>
          <w:sz w:val="24"/>
          <w:szCs w:val="24"/>
        </w:rPr>
      </w:pPr>
      <w:bookmarkStart w:id="1" w:name="4"/>
      <w:bookmarkEnd w:id="1"/>
      <w:r w:rsidRPr="00D50126">
        <w:rPr>
          <w:b/>
          <w:bCs/>
          <w:sz w:val="24"/>
          <w:szCs w:val="24"/>
          <w:lang w:val="en-GB"/>
        </w:rPr>
        <w:t xml:space="preserve">Điều 1. Phạm vị điều chỉnh </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1. </w:t>
      </w:r>
      <w:r w:rsidRPr="004639A8">
        <w:rPr>
          <w:color w:val="FF0000"/>
          <w:sz w:val="24"/>
          <w:szCs w:val="24"/>
          <w:lang w:val="en-GB"/>
        </w:rPr>
        <w:t>Quy chế này quy định về tổ chức, hoạt động giáo dục và công tác quản lý của trường trung học phổ thông chuyên</w:t>
      </w:r>
      <w:r w:rsidRPr="00D50126">
        <w:rPr>
          <w:sz w:val="24"/>
          <w:szCs w:val="24"/>
          <w:lang w:val="en-GB"/>
        </w:rPr>
        <w:t xml:space="preserve">. </w:t>
      </w:r>
    </w:p>
    <w:p w:rsidR="0082471F" w:rsidRPr="00D50126" w:rsidRDefault="0082471F" w:rsidP="0082471F">
      <w:pPr>
        <w:spacing w:before="100" w:beforeAutospacing="1" w:after="100" w:afterAutospacing="1"/>
        <w:jc w:val="both"/>
        <w:rPr>
          <w:sz w:val="24"/>
          <w:szCs w:val="24"/>
        </w:rPr>
      </w:pPr>
      <w:r w:rsidRPr="00D50126">
        <w:rPr>
          <w:sz w:val="24"/>
          <w:szCs w:val="24"/>
          <w:lang w:val="en-GB"/>
        </w:rPr>
        <w:t>2. Trường trung học phổ thông chuyên có trách nhiệm tuân theo Điều lệ trường trung học và các quy định trong bản Quy chế này.</w:t>
      </w:r>
    </w:p>
    <w:p w:rsidR="0082471F" w:rsidRPr="00D50126" w:rsidRDefault="0082471F" w:rsidP="0082471F">
      <w:pPr>
        <w:spacing w:before="100" w:beforeAutospacing="1" w:after="100" w:afterAutospacing="1"/>
        <w:jc w:val="both"/>
        <w:rPr>
          <w:sz w:val="24"/>
          <w:szCs w:val="24"/>
        </w:rPr>
      </w:pPr>
      <w:r w:rsidRPr="00D50126">
        <w:rPr>
          <w:sz w:val="24"/>
          <w:szCs w:val="24"/>
          <w:lang w:val="en-GB"/>
        </w:rPr>
        <w:t>3. Các khối lớp trung học phổ thông chuyên thuộc các đại học, các trường đại học có trách nhiệm tuân theo những quy định tương ứng trong Quy chế này.</w:t>
      </w:r>
    </w:p>
    <w:p w:rsidR="0082471F" w:rsidRPr="00D50126" w:rsidRDefault="0082471F" w:rsidP="0082471F">
      <w:pPr>
        <w:spacing w:before="100" w:beforeAutospacing="1" w:after="100" w:afterAutospacing="1"/>
        <w:jc w:val="both"/>
        <w:rPr>
          <w:sz w:val="24"/>
          <w:szCs w:val="24"/>
        </w:rPr>
      </w:pPr>
      <w:bookmarkStart w:id="2" w:name="5"/>
      <w:bookmarkEnd w:id="2"/>
      <w:r w:rsidRPr="00D50126">
        <w:rPr>
          <w:b/>
          <w:bCs/>
          <w:sz w:val="24"/>
          <w:szCs w:val="24"/>
          <w:lang w:val="en-GB"/>
        </w:rPr>
        <w:t>Điều 2</w:t>
      </w:r>
      <w:r w:rsidRPr="00D50126">
        <w:rPr>
          <w:sz w:val="24"/>
          <w:szCs w:val="24"/>
          <w:lang w:val="en-GB"/>
        </w:rPr>
        <w:t xml:space="preserve">. </w:t>
      </w:r>
      <w:r w:rsidRPr="00D50126">
        <w:rPr>
          <w:b/>
          <w:bCs/>
          <w:sz w:val="24"/>
          <w:szCs w:val="24"/>
          <w:lang w:val="en-GB"/>
        </w:rPr>
        <w:t xml:space="preserve">Vị trí, nhiệm vụ </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1. Trường trung học phổ thông chuyên được thành lập ở cấp trung học phổ thông, dành cho những học sinh đạt kết quả xuất sắc trong học tập nhằm phát triển năng khiếu của học sinh về một số môn học trên cơ sở bảo đảm giáo dục phổ thông toàn diện. </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2. Ngoài nhiệm vụ đã quy định trong Điều lệ trường trung học, trường trung học phổ thông chuyên còn có các nhiệm vụ:</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a) Bồi dưỡng và phát triển năng khiếu của học sinh về một môn học nhất định gọi là môn chuyên; đồng thời đảm bảo thực hiện đầy đủ kế hoạch và chương trình giáo dục toàn diện của trung học phổ thông.</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b) Tổ chức các hoạt động tập dượt nghiên cứu khoa học phù hợp với trình độ và tâm sinh lý học sinh.</w:t>
      </w:r>
    </w:p>
    <w:p w:rsidR="0082471F" w:rsidRPr="00D50126" w:rsidRDefault="0082471F" w:rsidP="0082471F">
      <w:pPr>
        <w:spacing w:before="100" w:beforeAutospacing="1" w:after="100" w:afterAutospacing="1"/>
        <w:jc w:val="both"/>
        <w:rPr>
          <w:sz w:val="24"/>
          <w:szCs w:val="24"/>
        </w:rPr>
      </w:pPr>
      <w:bookmarkStart w:id="3" w:name="6"/>
      <w:bookmarkEnd w:id="3"/>
      <w:r w:rsidRPr="00D50126">
        <w:rPr>
          <w:b/>
          <w:bCs/>
          <w:sz w:val="24"/>
          <w:szCs w:val="24"/>
          <w:lang w:val="en-GB"/>
        </w:rPr>
        <w:t xml:space="preserve">Điều 3. Nguyên tắc tổ chức </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1. Trường trung học phổ thông chuyên được tổ chức theo những nguyên tắc chung đã được quy định trong Điều lệ trường trung học. </w:t>
      </w:r>
    </w:p>
    <w:p w:rsidR="0082471F" w:rsidRPr="00D50126" w:rsidRDefault="0082471F" w:rsidP="0082471F">
      <w:pPr>
        <w:spacing w:before="100" w:beforeAutospacing="1" w:after="100" w:afterAutospacing="1"/>
        <w:jc w:val="both"/>
        <w:rPr>
          <w:sz w:val="24"/>
          <w:szCs w:val="24"/>
        </w:rPr>
      </w:pPr>
      <w:r w:rsidRPr="00D50126">
        <w:rPr>
          <w:sz w:val="24"/>
          <w:szCs w:val="24"/>
          <w:lang w:val="en-GB"/>
        </w:rPr>
        <w:t>2. Hằng năm trường trung học phổ thông chuyên được tuyển bổ sung những học sinh mới xuất sắc và chuyển những học sinh không còn đạt yêu cầu sang học tại các trường, lớp trung học phổ thông bình thường.</w:t>
      </w:r>
    </w:p>
    <w:p w:rsidR="0082471F" w:rsidRPr="00D50126" w:rsidRDefault="0082471F" w:rsidP="0082471F">
      <w:pPr>
        <w:spacing w:before="100" w:beforeAutospacing="1" w:after="100" w:afterAutospacing="1"/>
        <w:jc w:val="both"/>
        <w:rPr>
          <w:sz w:val="24"/>
          <w:szCs w:val="24"/>
        </w:rPr>
      </w:pPr>
      <w:bookmarkStart w:id="4" w:name="7"/>
      <w:bookmarkEnd w:id="4"/>
      <w:r w:rsidRPr="00D50126">
        <w:rPr>
          <w:b/>
          <w:bCs/>
          <w:sz w:val="24"/>
          <w:szCs w:val="24"/>
          <w:lang w:val="en-GB"/>
        </w:rPr>
        <w:t xml:space="preserve">Điều 4. Hình thức tổ chức </w:t>
      </w:r>
    </w:p>
    <w:p w:rsidR="0082471F" w:rsidRPr="00D50126" w:rsidRDefault="0082471F" w:rsidP="0082471F">
      <w:pPr>
        <w:spacing w:before="100" w:beforeAutospacing="1" w:after="100" w:afterAutospacing="1"/>
        <w:jc w:val="both"/>
        <w:rPr>
          <w:sz w:val="24"/>
          <w:szCs w:val="24"/>
        </w:rPr>
      </w:pPr>
      <w:r w:rsidRPr="00D50126">
        <w:rPr>
          <w:sz w:val="24"/>
          <w:szCs w:val="24"/>
          <w:lang w:val="en-GB"/>
        </w:rPr>
        <w:lastRenderedPageBreak/>
        <w:t>Trường trung học phổ thông chuyên được thành lập theo các hình thức sau:</w:t>
      </w:r>
    </w:p>
    <w:p w:rsidR="0082471F" w:rsidRPr="00D50126" w:rsidRDefault="0082471F" w:rsidP="0082471F">
      <w:pPr>
        <w:spacing w:before="100" w:beforeAutospacing="1" w:after="100" w:afterAutospacing="1"/>
        <w:jc w:val="both"/>
        <w:rPr>
          <w:sz w:val="24"/>
          <w:szCs w:val="24"/>
        </w:rPr>
      </w:pPr>
      <w:r w:rsidRPr="00D50126">
        <w:rPr>
          <w:sz w:val="24"/>
          <w:szCs w:val="24"/>
          <w:lang w:val="en-GB"/>
        </w:rPr>
        <w:t>1. Trường trung học phổ thông chuyên thuộc tỉnh, thành phố trực thuộc trung ương (sau đây gọi chung là trường trung học phổ thông chuyên thuộc tỉnh).</w:t>
      </w:r>
    </w:p>
    <w:p w:rsidR="0082471F" w:rsidRPr="00D50126" w:rsidRDefault="0082471F" w:rsidP="0082471F">
      <w:pPr>
        <w:spacing w:before="100" w:beforeAutospacing="1" w:after="100" w:afterAutospacing="1"/>
        <w:jc w:val="both"/>
        <w:rPr>
          <w:sz w:val="24"/>
          <w:szCs w:val="24"/>
        </w:rPr>
      </w:pPr>
      <w:r w:rsidRPr="00D50126">
        <w:rPr>
          <w:sz w:val="24"/>
          <w:szCs w:val="24"/>
          <w:lang w:val="en-GB"/>
        </w:rPr>
        <w:t>2. Trường trung học phổ thông chuyên thuộc đại học quốc gia, đại học khu vực, các trường đại học sư phạm (sau đây gọi chung là trường trung học phổ thông chuyên thuộc trường đại học).</w:t>
      </w:r>
    </w:p>
    <w:p w:rsidR="0082471F" w:rsidRPr="00D50126" w:rsidRDefault="0082471F" w:rsidP="0082471F">
      <w:pPr>
        <w:spacing w:before="100" w:beforeAutospacing="1" w:after="100" w:afterAutospacing="1"/>
        <w:jc w:val="both"/>
        <w:rPr>
          <w:sz w:val="24"/>
          <w:szCs w:val="24"/>
        </w:rPr>
      </w:pPr>
      <w:bookmarkStart w:id="5" w:name="8"/>
      <w:bookmarkEnd w:id="5"/>
      <w:r w:rsidRPr="00D50126">
        <w:rPr>
          <w:b/>
          <w:bCs/>
          <w:sz w:val="24"/>
          <w:szCs w:val="24"/>
          <w:lang w:val="en-GB"/>
        </w:rPr>
        <w:t xml:space="preserve">Điều 5. Chính sách ưu tiên </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1. Giáo viên, cán bộ quản lý nhà trường được hưởng chính sách ưu đãi theo quy định tại Nghị định số 35/2001/NĐ-CP ngày 09/07/2001 của Chính phủ về chính sách đối với nhà giáo, cán bộ quản lý giáo dục công tác ở trường chuyên biệt, ở vùng có điều kiện kinh tế xã hội đặc biệt khó khăn.</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2. Trường trung học phổ thông chuyên được ưu tiên về bố trí cán bộ, giáo viên đủ phẩm chất và năng lực, về trang bị cơ sở vật chất và thiết bị theo tiêu chuẩn trường trung học chuẩn quốc gia; được tiếp nhận sự giúp đỡ của các tổ chức kinh tế, xã hội trong và ngoài nước.</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3. Tuỳ điều kiện và hoàn cảnh địa phương, Uỷ ban nhân dân cấp tỉnh có thể có chính sách ưu đãi thêm nhằm khuyến khích động viên giáo viên, học sinh trường trung học phổ thông chuyên.</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4. Ngoài những quy định ưu tiên trong Quy chế này, trường trung học phổ thông chuyên thực hiện theo chế độ tài chính hiện hành như các trường trung học phổ thông bình thường.</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Chương II</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TỔ CHỨC VÀ QUẢN LÝ NHÀ TRƯỜNG</w:t>
      </w:r>
    </w:p>
    <w:p w:rsidR="0082471F" w:rsidRPr="00D50126" w:rsidRDefault="0082471F" w:rsidP="0082471F">
      <w:pPr>
        <w:spacing w:before="100" w:beforeAutospacing="1" w:after="100" w:afterAutospacing="1"/>
        <w:jc w:val="both"/>
        <w:rPr>
          <w:sz w:val="24"/>
          <w:szCs w:val="24"/>
        </w:rPr>
      </w:pPr>
      <w:bookmarkStart w:id="6" w:name="10"/>
      <w:bookmarkStart w:id="7" w:name="12"/>
      <w:bookmarkEnd w:id="6"/>
      <w:bookmarkEnd w:id="7"/>
      <w:r w:rsidRPr="00D50126">
        <w:rPr>
          <w:b/>
          <w:bCs/>
          <w:sz w:val="24"/>
          <w:szCs w:val="24"/>
          <w:lang w:val="en-GB"/>
        </w:rPr>
        <w:t xml:space="preserve">Điều 8. Lớp trong trường trung học phổ thông chuyên </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1. Chỉ được thành lập một lớp cho mỗi môn chuyên trong từng khối lớp 10, 11, 12. </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2. Mỗi lớp chuyên có từ 30 đến 35 học sinh, học theo chương trình một môn chuyên. </w:t>
      </w:r>
    </w:p>
    <w:p w:rsidR="0082471F" w:rsidRPr="00D50126" w:rsidRDefault="0082471F" w:rsidP="0082471F">
      <w:pPr>
        <w:spacing w:before="100" w:beforeAutospacing="1" w:after="100" w:afterAutospacing="1"/>
        <w:jc w:val="both"/>
        <w:rPr>
          <w:sz w:val="24"/>
          <w:szCs w:val="24"/>
        </w:rPr>
      </w:pPr>
      <w:r w:rsidRPr="00D50126">
        <w:rPr>
          <w:sz w:val="24"/>
          <w:szCs w:val="24"/>
          <w:lang w:val="en-GB"/>
        </w:rPr>
        <w:t>3. Tuỳ điều kiện cụ thể của địa phương hoặc trường đại học, trường trung học phổ thông chuyên có thể có một số hoặc tất cả các lớp chuyên sau:</w:t>
      </w:r>
    </w:p>
    <w:p w:rsidR="0082471F" w:rsidRPr="00D50126" w:rsidRDefault="0082471F" w:rsidP="0082471F">
      <w:pPr>
        <w:spacing w:before="100" w:beforeAutospacing="1" w:after="100" w:afterAutospacing="1"/>
        <w:jc w:val="both"/>
        <w:rPr>
          <w:sz w:val="24"/>
          <w:szCs w:val="24"/>
        </w:rPr>
      </w:pPr>
      <w:r w:rsidRPr="00D50126">
        <w:rPr>
          <w:sz w:val="24"/>
          <w:szCs w:val="24"/>
          <w:lang w:val="en-GB"/>
        </w:rPr>
        <w:t>a) Chuyên Toán,</w:t>
      </w:r>
    </w:p>
    <w:p w:rsidR="0082471F" w:rsidRPr="00D50126" w:rsidRDefault="0082471F" w:rsidP="0082471F">
      <w:pPr>
        <w:spacing w:before="100" w:beforeAutospacing="1" w:after="100" w:afterAutospacing="1"/>
        <w:jc w:val="both"/>
        <w:rPr>
          <w:sz w:val="24"/>
          <w:szCs w:val="24"/>
        </w:rPr>
      </w:pPr>
      <w:r w:rsidRPr="00D50126">
        <w:rPr>
          <w:sz w:val="24"/>
          <w:szCs w:val="24"/>
          <w:lang w:val="en-GB"/>
        </w:rPr>
        <w:t>b) Chuyên Tin học,</w:t>
      </w:r>
    </w:p>
    <w:p w:rsidR="0082471F" w:rsidRPr="00D50126" w:rsidRDefault="0082471F" w:rsidP="0082471F">
      <w:pPr>
        <w:spacing w:before="100" w:beforeAutospacing="1" w:after="100" w:afterAutospacing="1"/>
        <w:jc w:val="both"/>
        <w:rPr>
          <w:sz w:val="24"/>
          <w:szCs w:val="24"/>
        </w:rPr>
      </w:pPr>
      <w:r w:rsidRPr="00D50126">
        <w:rPr>
          <w:sz w:val="24"/>
          <w:szCs w:val="24"/>
          <w:lang w:val="en-GB"/>
        </w:rPr>
        <w:t>c) Chuyên Vật lý,</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d) Chuyên Hoá học, </w:t>
      </w:r>
    </w:p>
    <w:p w:rsidR="0082471F" w:rsidRPr="00D50126" w:rsidRDefault="0082471F" w:rsidP="0082471F">
      <w:pPr>
        <w:spacing w:before="100" w:beforeAutospacing="1" w:after="100" w:afterAutospacing="1"/>
        <w:jc w:val="both"/>
        <w:rPr>
          <w:sz w:val="24"/>
          <w:szCs w:val="24"/>
        </w:rPr>
      </w:pPr>
      <w:r w:rsidRPr="00D50126">
        <w:rPr>
          <w:sz w:val="24"/>
          <w:szCs w:val="24"/>
          <w:lang w:val="en-GB"/>
        </w:rPr>
        <w:t>đ) Chuyên Sinh học,</w:t>
      </w:r>
    </w:p>
    <w:p w:rsidR="0082471F" w:rsidRPr="00D50126" w:rsidRDefault="0082471F" w:rsidP="0082471F">
      <w:pPr>
        <w:spacing w:before="100" w:beforeAutospacing="1" w:after="100" w:afterAutospacing="1"/>
        <w:jc w:val="both"/>
        <w:rPr>
          <w:sz w:val="24"/>
          <w:szCs w:val="24"/>
        </w:rPr>
      </w:pPr>
      <w:r w:rsidRPr="00D50126">
        <w:rPr>
          <w:sz w:val="24"/>
          <w:szCs w:val="24"/>
          <w:lang w:val="en-GB"/>
        </w:rPr>
        <w:t>e) Chuyên Văn,</w:t>
      </w:r>
    </w:p>
    <w:p w:rsidR="0082471F" w:rsidRPr="00D50126" w:rsidRDefault="0082471F" w:rsidP="0082471F">
      <w:pPr>
        <w:spacing w:before="100" w:beforeAutospacing="1" w:after="100" w:afterAutospacing="1"/>
        <w:jc w:val="both"/>
        <w:rPr>
          <w:sz w:val="24"/>
          <w:szCs w:val="24"/>
        </w:rPr>
      </w:pPr>
      <w:r w:rsidRPr="00D50126">
        <w:rPr>
          <w:sz w:val="24"/>
          <w:szCs w:val="24"/>
          <w:lang w:val="en-GB"/>
        </w:rPr>
        <w:lastRenderedPageBreak/>
        <w:t>g) Chuyên Lịch sử,</w:t>
      </w:r>
    </w:p>
    <w:p w:rsidR="0082471F" w:rsidRPr="00D50126" w:rsidRDefault="0082471F" w:rsidP="0082471F">
      <w:pPr>
        <w:spacing w:before="100" w:beforeAutospacing="1" w:after="100" w:afterAutospacing="1"/>
        <w:jc w:val="both"/>
        <w:rPr>
          <w:sz w:val="24"/>
          <w:szCs w:val="24"/>
        </w:rPr>
      </w:pPr>
      <w:r w:rsidRPr="00D50126">
        <w:rPr>
          <w:sz w:val="24"/>
          <w:szCs w:val="24"/>
          <w:lang w:val="en-GB"/>
        </w:rPr>
        <w:t>h) Chuyên Địa lý,</w:t>
      </w:r>
    </w:p>
    <w:p w:rsidR="0082471F" w:rsidRPr="00D50126" w:rsidRDefault="0082471F" w:rsidP="0082471F">
      <w:pPr>
        <w:spacing w:before="100" w:beforeAutospacing="1" w:after="100" w:afterAutospacing="1"/>
        <w:jc w:val="both"/>
        <w:rPr>
          <w:sz w:val="24"/>
          <w:szCs w:val="24"/>
        </w:rPr>
      </w:pPr>
      <w:r w:rsidRPr="00D50126">
        <w:rPr>
          <w:sz w:val="24"/>
          <w:szCs w:val="24"/>
          <w:lang w:val="en-GB"/>
        </w:rPr>
        <w:t>i) Chuyên tiếng Anh,</w:t>
      </w:r>
    </w:p>
    <w:p w:rsidR="0082471F" w:rsidRPr="00D50126" w:rsidRDefault="0082471F" w:rsidP="0082471F">
      <w:pPr>
        <w:spacing w:before="100" w:beforeAutospacing="1" w:after="100" w:afterAutospacing="1"/>
        <w:jc w:val="both"/>
        <w:rPr>
          <w:sz w:val="24"/>
          <w:szCs w:val="24"/>
        </w:rPr>
      </w:pPr>
      <w:r w:rsidRPr="00D50126">
        <w:rPr>
          <w:sz w:val="24"/>
          <w:szCs w:val="24"/>
          <w:lang w:val="en-GB"/>
        </w:rPr>
        <w:t>k) Chuyên tiếng Nga,</w:t>
      </w:r>
    </w:p>
    <w:p w:rsidR="0082471F" w:rsidRPr="00D50126" w:rsidRDefault="0082471F" w:rsidP="0082471F">
      <w:pPr>
        <w:spacing w:before="100" w:beforeAutospacing="1" w:after="100" w:afterAutospacing="1"/>
        <w:jc w:val="both"/>
        <w:rPr>
          <w:sz w:val="24"/>
          <w:szCs w:val="24"/>
        </w:rPr>
      </w:pPr>
      <w:r w:rsidRPr="00D50126">
        <w:rPr>
          <w:sz w:val="24"/>
          <w:szCs w:val="24"/>
          <w:lang w:val="en-GB"/>
        </w:rPr>
        <w:t>l) Chuyên tiếng Pháp.</w:t>
      </w:r>
    </w:p>
    <w:p w:rsidR="0082471F" w:rsidRPr="00D50126" w:rsidRDefault="0082471F" w:rsidP="0082471F">
      <w:pPr>
        <w:spacing w:before="100" w:beforeAutospacing="1" w:after="100" w:afterAutospacing="1"/>
        <w:jc w:val="both"/>
        <w:rPr>
          <w:sz w:val="24"/>
          <w:szCs w:val="24"/>
        </w:rPr>
      </w:pPr>
      <w:r w:rsidRPr="00D50126">
        <w:rPr>
          <w:sz w:val="24"/>
          <w:szCs w:val="24"/>
          <w:lang w:val="en-GB"/>
        </w:rPr>
        <w:t>3. Trong trường trung học phổ thông chuyên có thể có một số lớp không chuyên. Số lớp không chuyên chiếm không quá 30% so với tổng số lớp chuyên toàn trường. Lớp không chuyên được tổ chức theo quy định trong Điều lệ trường trung học.</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Chương III</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NHỮNG HOẠT ĐỘNG GIÁO DỤC CỦA TRƯỜNG TRUNG HỌC PHỔ THÔNG CHUYÊN</w:t>
      </w:r>
    </w:p>
    <w:p w:rsidR="0082471F" w:rsidRPr="00D50126" w:rsidRDefault="0082471F" w:rsidP="0082471F">
      <w:pPr>
        <w:spacing w:before="100" w:beforeAutospacing="1" w:after="100" w:afterAutospacing="1"/>
        <w:jc w:val="both"/>
        <w:rPr>
          <w:sz w:val="24"/>
          <w:szCs w:val="24"/>
        </w:rPr>
      </w:pPr>
      <w:r w:rsidRPr="00D50126">
        <w:rPr>
          <w:b/>
          <w:bCs/>
          <w:sz w:val="24"/>
          <w:szCs w:val="24"/>
          <w:lang w:val="en-GB"/>
        </w:rPr>
        <w:t xml:space="preserve">Điều 12. Kế hoạch và chương trình học tập </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1. Cùng với việc thực hiện kế hoạch, chương trình dạy học chung đối với các môn không chuyên ở trung học phổ thông, các trường trung học phổ thông chuyên phải thực hiện kế hoạch, chương trình dạy học riêng cho từng môn chuyên, lớp chuyên do Bộ Giáo dục và Đào tạo ban hành. </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2. Ngoài các hoạt động quy định trong Điều lệ trường trung học, trường trung học phổ thông chuyên phải tổ chức cho học sinh tham gia các hoạt động nghiên cứu khoa học, các hội thảo, thực nghiệm khoa học theo môn chuyên.</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Thời gian thực hiện các hoạt động tập dượt nghiên cứu khoa học không quá 2 buổi /1 tuần.</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 </w:t>
      </w:r>
    </w:p>
    <w:p w:rsidR="0082471F" w:rsidRPr="00D50126" w:rsidRDefault="0082471F" w:rsidP="0082471F">
      <w:pPr>
        <w:spacing w:before="100" w:beforeAutospacing="1" w:after="100" w:afterAutospacing="1"/>
        <w:jc w:val="center"/>
        <w:rPr>
          <w:sz w:val="24"/>
          <w:szCs w:val="24"/>
        </w:rPr>
      </w:pPr>
      <w:bookmarkStart w:id="8" w:name="21"/>
      <w:bookmarkEnd w:id="8"/>
      <w:r w:rsidRPr="00D50126">
        <w:rPr>
          <w:b/>
          <w:bCs/>
          <w:sz w:val="24"/>
          <w:szCs w:val="24"/>
          <w:lang w:val="en-GB"/>
        </w:rPr>
        <w:t>Chương IV</w:t>
      </w:r>
    </w:p>
    <w:p w:rsidR="0082471F" w:rsidRPr="00D50126" w:rsidRDefault="0082471F" w:rsidP="0082471F">
      <w:pPr>
        <w:spacing w:before="100" w:beforeAutospacing="1" w:after="100" w:afterAutospacing="1"/>
        <w:jc w:val="center"/>
        <w:rPr>
          <w:sz w:val="24"/>
          <w:szCs w:val="24"/>
        </w:rPr>
      </w:pPr>
      <w:r w:rsidRPr="00D50126">
        <w:rPr>
          <w:b/>
          <w:bCs/>
          <w:sz w:val="24"/>
          <w:szCs w:val="24"/>
          <w:lang w:val="en-GB"/>
        </w:rPr>
        <w:t>NHIỆM VỤ VÀ QUYỀN CỦA CÁN BỘ QUẢN LÝ, GIÁO VIÊN VÀ HỌC SINH</w:t>
      </w:r>
    </w:p>
    <w:p w:rsidR="0082471F" w:rsidRPr="00D50126" w:rsidRDefault="0082471F" w:rsidP="0082471F">
      <w:pPr>
        <w:spacing w:before="100" w:beforeAutospacing="1" w:after="100" w:afterAutospacing="1"/>
        <w:jc w:val="both"/>
        <w:rPr>
          <w:sz w:val="24"/>
          <w:szCs w:val="24"/>
        </w:rPr>
      </w:pPr>
      <w:bookmarkStart w:id="9" w:name="22"/>
      <w:bookmarkEnd w:id="9"/>
      <w:r w:rsidRPr="00D50126">
        <w:rPr>
          <w:b/>
          <w:bCs/>
          <w:sz w:val="24"/>
          <w:szCs w:val="24"/>
          <w:lang w:val="en-GB"/>
        </w:rPr>
        <w:t xml:space="preserve">Điều 16. Nhiệm vụ và quyền của hiệu trưởng, phó hiệu trưởng </w:t>
      </w:r>
    </w:p>
    <w:p w:rsidR="0082471F" w:rsidRPr="00D50126" w:rsidRDefault="0082471F" w:rsidP="0082471F">
      <w:pPr>
        <w:spacing w:before="100" w:beforeAutospacing="1" w:after="100" w:afterAutospacing="1"/>
        <w:jc w:val="both"/>
        <w:rPr>
          <w:sz w:val="24"/>
          <w:szCs w:val="24"/>
        </w:rPr>
      </w:pPr>
      <w:r w:rsidRPr="00D50126">
        <w:rPr>
          <w:sz w:val="24"/>
          <w:szCs w:val="24"/>
          <w:lang w:val="en-GB"/>
        </w:rPr>
        <w:t>1. Sử dụng có hiệu quả kinh phí, tài sản, cơ sở vật chất, thiết bị; phát huy tốt năng lực và trí tuệ của giáo viên, học sinh trong giảng dạy, học tập và các hoạt động, đặc biệt đối với môn chuyên.</w:t>
      </w:r>
    </w:p>
    <w:p w:rsidR="0082471F" w:rsidRPr="00D50126" w:rsidRDefault="0082471F" w:rsidP="0082471F">
      <w:pPr>
        <w:spacing w:before="100" w:beforeAutospacing="1" w:after="100" w:afterAutospacing="1"/>
        <w:jc w:val="both"/>
        <w:rPr>
          <w:sz w:val="24"/>
          <w:szCs w:val="24"/>
        </w:rPr>
      </w:pPr>
      <w:r w:rsidRPr="00D50126">
        <w:rPr>
          <w:sz w:val="24"/>
          <w:szCs w:val="24"/>
          <w:lang w:val="en-GB"/>
        </w:rPr>
        <w:t xml:space="preserve">2. Được hưởng các chế độ theo quy định hiện hành cho cán bộ quản lý trường trung học phổ thông chuyên và các chế độ ưu tiên khác (nếu có) của địa phương hoặc trường đại học. </w:t>
      </w:r>
    </w:p>
    <w:p w:rsidR="0082471F" w:rsidRPr="00D50126" w:rsidRDefault="0082471F" w:rsidP="0082471F">
      <w:pPr>
        <w:spacing w:before="100" w:beforeAutospacing="1" w:after="100" w:afterAutospacing="1"/>
        <w:jc w:val="both"/>
        <w:rPr>
          <w:sz w:val="24"/>
          <w:szCs w:val="24"/>
        </w:rPr>
      </w:pPr>
      <w:r w:rsidRPr="00D50126">
        <w:rPr>
          <w:sz w:val="24"/>
          <w:szCs w:val="24"/>
          <w:lang w:val="en-GB"/>
        </w:rPr>
        <w:t>3. Được tuyển chọn giáo viên về giảng dạy tại trường và đề nghị thuyên chuyển đối với những giáo viên không đáp ứng yêu cầu giảng dạy ở trường trung học phổ thông chuyên.</w:t>
      </w:r>
    </w:p>
    <w:p w:rsidR="0082471F" w:rsidRPr="00D50126" w:rsidRDefault="0082471F" w:rsidP="0082471F">
      <w:pPr>
        <w:spacing w:before="100" w:beforeAutospacing="1" w:after="100" w:afterAutospacing="1"/>
        <w:jc w:val="both"/>
        <w:rPr>
          <w:sz w:val="24"/>
          <w:szCs w:val="24"/>
        </w:rPr>
      </w:pPr>
      <w:bookmarkStart w:id="10" w:name="23"/>
      <w:bookmarkEnd w:id="10"/>
      <w:r w:rsidRPr="00D50126">
        <w:rPr>
          <w:b/>
          <w:bCs/>
          <w:sz w:val="24"/>
          <w:szCs w:val="24"/>
          <w:lang w:val="en-GB"/>
        </w:rPr>
        <w:t xml:space="preserve">Điều 17. Nhiệm vụ và quyền của giáo viên </w:t>
      </w:r>
    </w:p>
    <w:p w:rsidR="0082471F" w:rsidRPr="004639A8" w:rsidRDefault="0082471F" w:rsidP="0082471F">
      <w:pPr>
        <w:spacing w:before="100" w:beforeAutospacing="1" w:after="100" w:afterAutospacing="1"/>
        <w:jc w:val="both"/>
        <w:rPr>
          <w:color w:val="FF0000"/>
          <w:sz w:val="24"/>
          <w:szCs w:val="24"/>
        </w:rPr>
      </w:pPr>
      <w:r w:rsidRPr="00D50126">
        <w:rPr>
          <w:sz w:val="24"/>
          <w:szCs w:val="24"/>
          <w:lang w:val="en-GB"/>
        </w:rPr>
        <w:lastRenderedPageBreak/>
        <w:t xml:space="preserve">1. Giáo viên môn chuyên trường trung học phổ thông chuyên ngoài việc thực hiện đầy đủ </w:t>
      </w:r>
      <w:r w:rsidRPr="004639A8">
        <w:rPr>
          <w:color w:val="FF0000"/>
          <w:sz w:val="24"/>
          <w:szCs w:val="24"/>
          <w:lang w:val="en-GB"/>
        </w:rPr>
        <w:t>nhiệm vụ và quyền của giáo viên quy định tại các Điều 29, 30 của Điều lệ trường trung học hiện hành còn có các nhiệm vụ:</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a) Trực tiếp bồi dưỡng và phát triển năng khiếu của học sinh về môn chuyên;</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b) Tổ chức và hướng dẫn học sinh môn chuyên tập dượt nghiên cứu khoa học phù hợp với trình độ và tâm sinh lý học sinh.</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2. Giáo viên các bộ môn khác thực hiện nhiệm vụ theo quy định tại Điều 29, 30 Điều lệ trường trung học.</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3. Giáo viên trường trung học phổ thông chuyên được hưởng chế độ phụ cấp, các chính sách hiện hành đối với giáo viên và các chế độ ưu tiên quy định tại khoản 1 Điều 5 của Quy chế này.</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4. Hằng năm, những giáo viên không đủ điều kiện để giảng dạy tại trường chuyên được Sở Giáo dục và Đào tạo (hoặc trường đại học quản lý trường trung học phổ thông chuyên) tạo điều kiện để được chuyển sang giảng dạy các lớp không chuyên hoặc giảng dạy ở các trường trung học phổ thông khác.</w:t>
      </w:r>
    </w:p>
    <w:p w:rsidR="0082471F" w:rsidRPr="004639A8" w:rsidRDefault="0082471F" w:rsidP="0082471F">
      <w:pPr>
        <w:spacing w:before="100" w:beforeAutospacing="1" w:after="100" w:afterAutospacing="1"/>
        <w:jc w:val="both"/>
        <w:rPr>
          <w:color w:val="FF0000"/>
          <w:sz w:val="24"/>
          <w:szCs w:val="24"/>
        </w:rPr>
      </w:pPr>
      <w:bookmarkStart w:id="11" w:name="24"/>
      <w:bookmarkEnd w:id="11"/>
      <w:r w:rsidRPr="004639A8">
        <w:rPr>
          <w:b/>
          <w:bCs/>
          <w:color w:val="FF0000"/>
          <w:sz w:val="24"/>
          <w:szCs w:val="24"/>
          <w:lang w:val="en-GB"/>
        </w:rPr>
        <w:t xml:space="preserve">Điều 18. Nhiệm vụ và quyền của học sinh </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1. Thực hiện tốt các yêu cầu về giáo dục toàn diện của học sinh phổ thông.</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2. Tích cực, chủ động trong học tập, phấn đấu học giỏi môn chuyên.</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3. Tích cực tham gia các hoạt động ngoài giờ lên lớp, các hoạt động chính trị xã hội chung của nhà trường; tham gia các hoạt động khoa học do nhà trường tổ chức hoặc theo sự phân công của giáo viên, phù hợp với năng lực cá nhân đối với từng môn chuyên.</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4. Được tạo các điều kiện về: ở nội trú, sử dụng cơ sở vật chất thiết bị và thư viện phục vụ cho học tập.</w:t>
      </w:r>
    </w:p>
    <w:p w:rsidR="0082471F" w:rsidRPr="004639A8" w:rsidRDefault="0082471F" w:rsidP="0082471F">
      <w:pPr>
        <w:spacing w:before="100" w:beforeAutospacing="1" w:after="100" w:afterAutospacing="1"/>
        <w:jc w:val="both"/>
        <w:rPr>
          <w:color w:val="FF0000"/>
          <w:sz w:val="24"/>
          <w:szCs w:val="24"/>
        </w:rPr>
      </w:pPr>
      <w:r w:rsidRPr="004639A8">
        <w:rPr>
          <w:color w:val="FF0000"/>
          <w:sz w:val="24"/>
          <w:szCs w:val="24"/>
          <w:lang w:val="en-GB"/>
        </w:rPr>
        <w:t>5. Học sinh thuộc diện được hưởng chính sách ưu tiên, ưu đãi theo quy định tại Điều 32 của Nghị định số 43/2000/NĐ-CP ngày 30/8/2000 của Chính phủ được xét miễn giảm học phí; học sinh đạt kết quả giỏi được xét cấp học bổng, được khen thưởng theo quy định của nhà nước, của địa phương và của trường đại học./.</w:t>
      </w:r>
    </w:p>
    <w:p w:rsidR="00FD104C" w:rsidRDefault="00FD104C">
      <w:bookmarkStart w:id="12" w:name="_GoBack"/>
      <w:bookmarkEnd w:id="12"/>
    </w:p>
    <w:sectPr w:rsidR="00FD104C" w:rsidSect="009F0FF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1F"/>
    <w:rsid w:val="004639A8"/>
    <w:rsid w:val="0082471F"/>
    <w:rsid w:val="009F0FF6"/>
    <w:rsid w:val="00FD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1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1F"/>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NGUYEN HOANG</dc:creator>
  <cp:lastModifiedBy>DUY NGUYEN HOANG</cp:lastModifiedBy>
  <cp:revision>2</cp:revision>
  <dcterms:created xsi:type="dcterms:W3CDTF">2018-08-05T14:38:00Z</dcterms:created>
  <dcterms:modified xsi:type="dcterms:W3CDTF">2018-08-05T14:38:00Z</dcterms:modified>
</cp:coreProperties>
</file>